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Calibri" w:hAnsi="Calibri"/>
          <w:b/>
          <w:color w:val="173D35"/>
          <w:sz w:val="20"/>
        </w:rPr>
        <w:t>SHINEBOOKED AI</w:t>
      </w:r>
    </w:p>
    <w:p>
      <w:pPr>
        <w:pStyle w:val="Title"/>
      </w:pPr>
      <w:r>
        <w:t>Client Service Agreement</w:t>
      </w:r>
    </w:p>
    <w:p>
      <w:pPr>
        <w:pStyle w:val="Subtitle"/>
      </w:pPr>
      <w:r>
        <w:t>Approval-first AI front desk systems for independent auto detailers</w:t>
      </w:r>
    </w:p>
    <w:tbl>
      <w:tblPr>
        <w:tblW w:type="dxa" w:w="9360"/>
        <w:jc w:val="left"/>
        <w:tblLayout w:type="fixed"/>
        <w:tblLook w:firstColumn="1" w:firstRow="1" w:lastColumn="0" w:lastRow="0" w:noHBand="0" w:noVBand="1" w:val="04A0"/>
        <w:tblInd w:w="120" w:type="dxa"/>
        <w:tblBorders>
          <w:top w:val="single" w:sz="5" w:space="0" w:color="CBD4D1"/>
          <w:left w:val="single" w:sz="5" w:space="0" w:color="CBD4D1"/>
          <w:bottom w:val="single" w:sz="5" w:space="0" w:color="CBD4D1"/>
          <w:right w:val="single" w:sz="5" w:space="0" w:color="CBD4D1"/>
          <w:insideH w:val="single" w:sz="5" w:space="0" w:color="CBD4D1"/>
          <w:insideV w:val="single" w:sz="5" w:space="0" w:color="CBD4D1"/>
        </w:tblBorders>
      </w:tblPr>
      <w:tblGrid>
        <w:gridCol w:w="2160"/>
        <w:gridCol w:w="7200"/>
      </w:tblGrid>
      <w:tr>
        <w:tc>
          <w:tcPr>
            <w:tcW w:type="dxa" w:w="2160"/>
            <w:vAlign w:val="center"/>
            <w:tcMar>
              <w:top w:w="100" w:type="dxa"/>
              <w:start w:w="140" w:type="dxa"/>
              <w:bottom w:w="100" w:type="dxa"/>
              <w:end w:w="140" w:type="dxa"/>
            </w:tcMar>
            <w:shd w:fill="F2F4F3"/>
          </w:tcPr>
          <w:p>
            <w:pPr>
              <w:spacing w:after="0"/>
            </w:pPr>
            <w:r>
              <w:rPr>
                <w:rFonts w:ascii="Calibri" w:hAnsi="Calibri"/>
                <w:b/>
                <w:color w:val="173D35"/>
                <w:sz w:val="20"/>
              </w:rPr>
              <w:t>Provider</w:t>
            </w:r>
          </w:p>
        </w:tc>
        <w:tc>
          <w:tcPr>
            <w:tcW w:type="dxa" w:w="7200"/>
            <w:vAlign w:val="center"/>
            <w:tcMar>
              <w:top w:w="100" w:type="dxa"/>
              <w:start w:w="140" w:type="dxa"/>
              <w:bottom w:w="100" w:type="dxa"/>
              <w:end w:w="140" w:type="dxa"/>
            </w:tcMar>
          </w:tcPr>
          <w:p>
            <w:pPr>
              <w:spacing w:after="0"/>
            </w:pPr>
            <w:r>
              <w:rPr>
                <w:rFonts w:ascii="Calibri" w:hAnsi="Calibri"/>
                <w:color w:val="181D1C"/>
                <w:sz w:val="21"/>
              </w:rPr>
              <w:t>Juniper Harbor Ventures LLC, operating under the ShineBooked AI brand</w:t>
            </w:r>
          </w:p>
        </w:tc>
      </w:tr>
      <w:tr>
        <w:tc>
          <w:tcPr>
            <w:tcW w:type="dxa" w:w="2160"/>
            <w:vAlign w:val="center"/>
            <w:tcMar>
              <w:top w:w="100" w:type="dxa"/>
              <w:start w:w="140" w:type="dxa"/>
              <w:bottom w:w="100" w:type="dxa"/>
              <w:end w:w="140" w:type="dxa"/>
            </w:tcMar>
            <w:shd w:fill="F2F4F3"/>
          </w:tcPr>
          <w:p>
            <w:pPr>
              <w:spacing w:after="0"/>
            </w:pPr>
            <w:r>
              <w:rPr>
                <w:rFonts w:ascii="Calibri" w:hAnsi="Calibri"/>
                <w:b/>
                <w:color w:val="173D35"/>
                <w:sz w:val="20"/>
              </w:rPr>
              <w:t>Client</w:t>
            </w:r>
          </w:p>
        </w:tc>
        <w:tc>
          <w:tcPr>
            <w:tcW w:type="dxa" w:w="7200"/>
            <w:vAlign w:val="center"/>
            <w:tcMar>
              <w:top w:w="100" w:type="dxa"/>
              <w:start w:w="140" w:type="dxa"/>
              <w:bottom w:w="100" w:type="dxa"/>
              <w:end w:w="140" w:type="dxa"/>
            </w:tcMar>
          </w:tcPr>
          <w:p>
            <w:pPr>
              <w:spacing w:after="0"/>
            </w:pPr>
            <w:r>
              <w:rPr>
                <w:rFonts w:ascii="Calibri" w:hAnsi="Calibri"/>
                <w:color w:val="181D1C"/>
                <w:sz w:val="21"/>
              </w:rPr>
              <w:t>[Client legal name]</w:t>
            </w:r>
          </w:p>
        </w:tc>
      </w:tr>
      <w:tr>
        <w:tc>
          <w:tcPr>
            <w:tcW w:type="dxa" w:w="2160"/>
            <w:vAlign w:val="center"/>
            <w:tcMar>
              <w:top w:w="100" w:type="dxa"/>
              <w:start w:w="140" w:type="dxa"/>
              <w:bottom w:w="100" w:type="dxa"/>
              <w:end w:w="140" w:type="dxa"/>
            </w:tcMar>
            <w:shd w:fill="F2F4F3"/>
          </w:tcPr>
          <w:p>
            <w:pPr>
              <w:spacing w:after="0"/>
            </w:pPr>
            <w:r>
              <w:rPr>
                <w:rFonts w:ascii="Calibri" w:hAnsi="Calibri"/>
                <w:b/>
                <w:color w:val="173D35"/>
                <w:sz w:val="20"/>
              </w:rPr>
              <w:t>Effective date</w:t>
            </w:r>
          </w:p>
        </w:tc>
        <w:tc>
          <w:tcPr>
            <w:tcW w:type="dxa" w:w="7200"/>
            <w:vAlign w:val="center"/>
            <w:tcMar>
              <w:top w:w="100" w:type="dxa"/>
              <w:start w:w="140" w:type="dxa"/>
              <w:bottom w:w="100" w:type="dxa"/>
              <w:end w:w="140" w:type="dxa"/>
            </w:tcMar>
          </w:tcPr>
          <w:p>
            <w:pPr>
              <w:spacing w:after="0"/>
            </w:pPr>
            <w:r>
              <w:rPr>
                <w:rFonts w:ascii="Calibri" w:hAnsi="Calibri"/>
                <w:color w:val="181D1C"/>
                <w:sz w:val="21"/>
              </w:rPr>
              <w:t>[Month Day, Year]</w:t>
            </w:r>
          </w:p>
        </w:tc>
      </w:tr>
      <w:tr>
        <w:tc>
          <w:tcPr>
            <w:tcW w:type="dxa" w:w="2160"/>
            <w:vAlign w:val="center"/>
            <w:tcMar>
              <w:top w:w="100" w:type="dxa"/>
              <w:start w:w="140" w:type="dxa"/>
              <w:bottom w:w="100" w:type="dxa"/>
              <w:end w:w="140" w:type="dxa"/>
            </w:tcMar>
            <w:shd w:fill="F2F4F3"/>
          </w:tcPr>
          <w:p>
            <w:pPr>
              <w:spacing w:after="0"/>
            </w:pPr>
            <w:r>
              <w:rPr>
                <w:rFonts w:ascii="Calibri" w:hAnsi="Calibri"/>
                <w:b/>
                <w:color w:val="173D35"/>
                <w:sz w:val="20"/>
              </w:rPr>
              <w:t>Primary contacts</w:t>
            </w:r>
          </w:p>
        </w:tc>
        <w:tc>
          <w:tcPr>
            <w:tcW w:type="dxa" w:w="7200"/>
            <w:vAlign w:val="center"/>
            <w:tcMar>
              <w:top w:w="100" w:type="dxa"/>
              <w:start w:w="140" w:type="dxa"/>
              <w:bottom w:w="100" w:type="dxa"/>
              <w:end w:w="140" w:type="dxa"/>
            </w:tcMar>
          </w:tcPr>
          <w:p>
            <w:pPr>
              <w:spacing w:after="0"/>
            </w:pPr>
            <w:r>
              <w:rPr>
                <w:rFonts w:ascii="Calibri" w:hAnsi="Calibri"/>
                <w:color w:val="181D1C"/>
                <w:sz w:val="21"/>
              </w:rPr>
              <w:t>Provider: shinebookedai@gmail.com | Client: [name and email]</w:t>
            </w:r>
          </w:p>
        </w:tc>
      </w:tr>
    </w:tbl>
    <w:p>
      <w:pPr>
        <w:shd w:fill="FFF2F2"/>
        <w:pBdr>
          <w:left w:val="single" w:sz="18" w:space="7" w:color="972727"/>
        </w:pBdr>
        <w:spacing w:before="240" w:after="240"/>
        <w:ind w:left="115" w:right="115"/>
      </w:pPr>
      <w:r>
        <w:rPr>
          <w:rFonts w:ascii="Calibri" w:hAnsi="Calibri"/>
          <w:b/>
          <w:color w:val="173D35"/>
        </w:rPr>
        <w:t xml:space="preserve">CLIENT AGREEMENT TEMPLATE. </w:t>
      </w:r>
      <w:r>
        <w:rPr>
          <w:rFonts w:ascii="Calibri" w:hAnsi="Calibri"/>
          <w:color w:val="181D1C"/>
        </w:rPr>
        <w:t>Complete every bracketed field, confirm the selected scope and spending caps, and obtain both parties' signatures before payment or implementation.</w:t>
      </w:r>
    </w:p>
    <w:p>
      <w:pPr>
        <w:spacing w:after="200"/>
      </w:pPr>
      <w:r>
        <w:rPr>
          <w:rFonts w:ascii="Calibri" w:hAnsi="Calibri"/>
          <w:color w:val="181D1C"/>
        </w:rPr>
        <w:t>This Client Service Agreement (the "Agreement") is between Juniper Harbor Ventures LLC, operating under the ShineBooked AI brand ("Provider"), and the client identified above ("Client"). The Agreement includes the attached Order Form and Approval and Compliance Rules. If an Order Form conflicts with the main Agreement, the Order Form controls only for that engagement.</w:t>
      </w:r>
    </w:p>
    <w:p>
      <w:pPr>
        <w:pStyle w:val="Heading1"/>
        <w:keepNext/>
      </w:pPr>
      <w:r>
        <w:t>Services and scope</w:t>
      </w:r>
    </w:p>
    <w:p>
      <w:pPr>
        <w:keepLines/>
      </w:pPr>
      <w:r>
        <w:rPr>
          <w:rFonts w:ascii="Calibri" w:hAnsi="Calibri"/>
          <w:b/>
        </w:rPr>
        <w:t xml:space="preserve">Services. </w:t>
      </w:r>
      <w:r>
        <w:rPr>
          <w:rFonts w:ascii="Calibri" w:hAnsi="Calibri"/>
        </w:rPr>
        <w:t>Provider will configure and operate the software-enabled front-desk and follow-up services described in Exhibit A. The founding package is designed for one independent detailing business, one primary service area, and one owner approval queue.</w:t>
      </w:r>
    </w:p>
    <w:p>
      <w:pPr>
        <w:keepLines/>
      </w:pPr>
      <w:r>
        <w:rPr>
          <w:rFonts w:ascii="Calibri" w:hAnsi="Calibri"/>
          <w:b/>
        </w:rPr>
        <w:t xml:space="preserve">Excluded work. </w:t>
      </w:r>
      <w:r>
        <w:rPr>
          <w:rFonts w:ascii="Calibri" w:hAnsi="Calibri"/>
        </w:rPr>
        <w:t>Unless added in a signed change order, the Services do not include advertising spend, custom mobile applications, direct calendar booking, tax or legal advice, guaranteed lead generation, unlimited custom development, or third-party usage charges.</w:t>
      </w:r>
    </w:p>
    <w:p>
      <w:pPr>
        <w:keepLines/>
      </w:pPr>
      <w:r>
        <w:rPr>
          <w:rFonts w:ascii="Calibri" w:hAnsi="Calibri"/>
          <w:b/>
        </w:rPr>
        <w:t xml:space="preserve">Change control. </w:t>
      </w:r>
      <w:r>
        <w:rPr>
          <w:rFonts w:ascii="Calibri" w:hAnsi="Calibri"/>
        </w:rPr>
        <w:t>Either party may propose a change. A change that affects price, timing, data use, automated customer contact, or third-party costs is effective only after both parties approve it in writing.</w:t>
      </w:r>
    </w:p>
    <w:p>
      <w:pPr>
        <w:pStyle w:val="Heading1"/>
        <w:keepNext/>
      </w:pPr>
      <w:r>
        <w:t>Implementation and acceptance</w:t>
      </w:r>
    </w:p>
    <w:p>
      <w:pPr>
        <w:keepLines/>
      </w:pPr>
      <w:r>
        <w:rPr>
          <w:rFonts w:ascii="Calibri" w:hAnsi="Calibri"/>
          <w:b/>
        </w:rPr>
        <w:t xml:space="preserve">Dependencies. </w:t>
      </w:r>
      <w:r>
        <w:rPr>
          <w:rFonts w:ascii="Calibri" w:hAnsi="Calibri"/>
        </w:rPr>
        <w:t>Provider's schedule begins after Client supplies the approved service list, starting prices or pricing rules, service area, hours, escalation contact, brand guidance, and access reasonably required for the agreed setup.</w:t>
      </w:r>
    </w:p>
    <w:p>
      <w:pPr>
        <w:keepLines/>
      </w:pPr>
      <w:r>
        <w:rPr>
          <w:rFonts w:ascii="Calibri" w:hAnsi="Calibri"/>
          <w:b/>
        </w:rPr>
        <w:t xml:space="preserve">Launch target. </w:t>
      </w:r>
      <w:r>
        <w:rPr>
          <w:rFonts w:ascii="Calibri" w:hAnsi="Calibri"/>
        </w:rPr>
        <w:t>Provider will use commercially reasonable efforts to make the founding setup available for Client testing within 10 business days after required inputs and access are received. A target date is not a guarantee when Client decisions or third-party systems cause delay.</w:t>
      </w:r>
    </w:p>
    <w:p>
      <w:pPr>
        <w:keepLines/>
      </w:pPr>
      <w:r>
        <w:rPr>
          <w:rFonts w:ascii="Calibri" w:hAnsi="Calibri"/>
          <w:b/>
        </w:rPr>
        <w:t xml:space="preserve">Testing. </w:t>
      </w:r>
      <w:r>
        <w:rPr>
          <w:rFonts w:ascii="Calibri" w:hAnsi="Calibri"/>
        </w:rPr>
        <w:t>Client will test material workflows before public activation. Provider will correct reproducible defects that cause the Services to materially fail the accepted scope. Preference changes, new features, and third-party outages are not defects.</w:t>
      </w:r>
    </w:p>
    <w:p>
      <w:pPr>
        <w:pStyle w:val="Heading1"/>
        <w:keepNext/>
      </w:pPr>
      <w:r>
        <w:t>Approval-first operating model</w:t>
      </w:r>
    </w:p>
    <w:p>
      <w:pPr>
        <w:keepLines/>
      </w:pPr>
      <w:r>
        <w:rPr>
          <w:rFonts w:ascii="Calibri" w:hAnsi="Calibri"/>
          <w:b/>
        </w:rPr>
        <w:t xml:space="preserve">Reserved decisions. </w:t>
      </w:r>
      <w:r>
        <w:rPr>
          <w:rFonts w:ascii="Calibri" w:hAnsi="Calibri"/>
        </w:rPr>
        <w:t>Unless a later signed change order establishes a tested automatic rule, Client retains approval over prices, discounts, refunds, guarantees, appointment confirmations, outbound campaign audiences, public claims, and customer-facing messages.</w:t>
      </w:r>
    </w:p>
    <w:p>
      <w:pPr>
        <w:keepLines/>
      </w:pPr>
      <w:r>
        <w:rPr>
          <w:rFonts w:ascii="Calibri" w:hAnsi="Calibri"/>
          <w:b/>
        </w:rPr>
        <w:t xml:space="preserve">No implied approval. </w:t>
      </w:r>
      <w:r>
        <w:rPr>
          <w:rFonts w:ascii="Calibri" w:hAnsi="Calibri"/>
        </w:rPr>
        <w:t>Silence or delay is not approval for a customer-facing commitment, a new campaign, a material workflow change, or a new usage cost.</w:t>
      </w:r>
    </w:p>
    <w:p>
      <w:pPr>
        <w:keepLines/>
      </w:pPr>
      <w:r>
        <w:rPr>
          <w:rFonts w:ascii="Calibri" w:hAnsi="Calibri"/>
          <w:b/>
        </w:rPr>
        <w:t xml:space="preserve">Emergency stop. </w:t>
      </w:r>
      <w:r>
        <w:rPr>
          <w:rFonts w:ascii="Calibri" w:hAnsi="Calibri"/>
        </w:rPr>
        <w:t>Provider may pause a workflow immediately if it appears unlawful, deceptive, unsafe, compromised, technically unstable, or materially outside the approved scope. Provider will notify Client and work toward a safe restart.</w:t>
      </w:r>
    </w:p>
    <w:p>
      <w:pPr>
        <w:pStyle w:val="Heading1"/>
        <w:keepNext/>
      </w:pPr>
      <w:r>
        <w:t>Client responsibilities</w:t>
      </w:r>
    </w:p>
    <w:p>
      <w:pPr>
        <w:numPr>
          <w:ilvl w:val="0"/>
          <w:numId w:val="10"/>
        </w:numPr>
        <w:spacing w:after="160" w:line="280" w:lineRule="auto"/>
      </w:pPr>
      <w:r>
        <w:rPr>
          <w:rFonts w:ascii="Calibri" w:hAnsi="Calibri"/>
        </w:rPr>
        <w:t>Provide accurate and current services, prices, availability rules, business claims, and escalation instructions.</w:t>
      </w:r>
    </w:p>
    <w:p>
      <w:pPr>
        <w:numPr>
          <w:ilvl w:val="0"/>
          <w:numId w:val="10"/>
        </w:numPr>
        <w:spacing w:after="160" w:line="280" w:lineRule="auto"/>
      </w:pPr>
      <w:r>
        <w:rPr>
          <w:rFonts w:ascii="Calibri" w:hAnsi="Calibri"/>
        </w:rPr>
        <w:t>Respond to approval requests and customer escalations within a commercially reasonable time.</w:t>
      </w:r>
    </w:p>
    <w:p>
      <w:pPr>
        <w:numPr>
          <w:ilvl w:val="0"/>
          <w:numId w:val="10"/>
        </w:numPr>
        <w:spacing w:after="160" w:line="280" w:lineRule="auto"/>
      </w:pPr>
      <w:r>
        <w:rPr>
          <w:rFonts w:ascii="Calibri" w:hAnsi="Calibri"/>
        </w:rPr>
        <w:t>Obtain and retain all permissions, notices, licenses, and consents required for Client's customer lists, messages, calls, recordings, reviews, offers, and business operations.</w:t>
      </w:r>
    </w:p>
    <w:p>
      <w:pPr>
        <w:numPr>
          <w:ilvl w:val="0"/>
          <w:numId w:val="10"/>
        </w:numPr>
        <w:spacing w:after="160" w:line="280" w:lineRule="auto"/>
      </w:pPr>
      <w:r>
        <w:rPr>
          <w:rFonts w:ascii="Calibri" w:hAnsi="Calibri"/>
        </w:rPr>
        <w:t>Maintain secure access to Client-controlled accounts and promptly remove access that is no longer needed.</w:t>
      </w:r>
    </w:p>
    <w:p>
      <w:pPr>
        <w:numPr>
          <w:ilvl w:val="0"/>
          <w:numId w:val="10"/>
        </w:numPr>
        <w:spacing w:after="160" w:line="280" w:lineRule="auto"/>
      </w:pPr>
      <w:r>
        <w:rPr>
          <w:rFonts w:ascii="Calibri" w:hAnsi="Calibri"/>
        </w:rPr>
        <w:t>Do not instruct Provider or the Services to make deceptive claims, impersonate a person, hide AI use where disclosure is required, or contact people unlawfully.</w:t>
      </w:r>
    </w:p>
    <w:p>
      <w:pPr>
        <w:numPr>
          <w:ilvl w:val="0"/>
          <w:numId w:val="10"/>
        </w:numPr>
        <w:spacing w:after="160" w:line="280" w:lineRule="auto"/>
      </w:pPr>
      <w:r>
        <w:rPr>
          <w:rFonts w:ascii="Calibri" w:hAnsi="Calibri"/>
        </w:rPr>
        <w:t>Do not submit payment-card data, government identifiers, health information, biometric data, or other highly sensitive information to conversational intake fields.</w:t>
      </w:r>
    </w:p>
    <w:p>
      <w:pPr>
        <w:pStyle w:val="Heading1"/>
        <w:keepNext/>
      </w:pPr>
      <w:r>
        <w:t>Fees, recurring billing, and taxes</w:t>
      </w:r>
    </w:p>
    <w:p>
      <w:pPr>
        <w:keepLines/>
      </w:pPr>
      <w:r>
        <w:rPr>
          <w:rFonts w:ascii="Calibri" w:hAnsi="Calibri"/>
          <w:b/>
        </w:rPr>
        <w:t xml:space="preserve">Founding fees. </w:t>
      </w:r>
      <w:r>
        <w:rPr>
          <w:rFonts w:ascii="Calibri" w:hAnsi="Calibri"/>
        </w:rPr>
        <w:t>The founding package is $297 for installation plus $497 per month. The first approved checkout is $794. The monthly service charge then renews on the monthly anniversary shown by Stripe until canceled under this Agreement.</w:t>
      </w:r>
    </w:p>
    <w:p>
      <w:pPr>
        <w:keepLines/>
      </w:pPr>
      <w:r>
        <w:rPr>
          <w:rFonts w:ascii="Calibri" w:hAnsi="Calibri"/>
          <w:b/>
        </w:rPr>
        <w:t xml:space="preserve">Clear recurring consent. </w:t>
      </w:r>
      <w:r>
        <w:rPr>
          <w:rFonts w:ascii="Calibri" w:hAnsi="Calibri"/>
        </w:rPr>
        <w:t>Client authorizes the recurring monthly charge only by signing this Agreement and completing the approved Stripe checkout that clearly shows the amount and billing interval. Provider will not interpret an audit request, demo, or unanswered proposal as payment authorization.</w:t>
      </w:r>
    </w:p>
    <w:p>
      <w:pPr>
        <w:keepLines/>
      </w:pPr>
      <w:r>
        <w:rPr>
          <w:rFonts w:ascii="Calibri" w:hAnsi="Calibri"/>
          <w:b/>
        </w:rPr>
        <w:t xml:space="preserve">Cancellation. </w:t>
      </w:r>
      <w:r>
        <w:rPr>
          <w:rFonts w:ascii="Calibri" w:hAnsi="Calibri"/>
        </w:rPr>
        <w:t>Client may cancel by emailing shinebookedai@gmail.com before the next renewal charge. Cancellation stops future renewals and is effective at the end of the current paid service period. Provider will confirm receipt in writing.</w:t>
      </w:r>
    </w:p>
    <w:p>
      <w:pPr>
        <w:keepLines/>
      </w:pPr>
      <w:r>
        <w:rPr>
          <w:rFonts w:ascii="Calibri" w:hAnsi="Calibri"/>
          <w:b/>
        </w:rPr>
        <w:t xml:space="preserve">Refunds and credits. </w:t>
      </w:r>
      <w:r>
        <w:rPr>
          <w:rFonts w:ascii="Calibri" w:hAnsi="Calibri"/>
        </w:rPr>
        <w:t>The installation fee becomes nonrefundable after implementation work begins. Monthly fees are nonrefundable after the service period begins, except where required by law or where Provider agrees in writing to a refund or service credit. This does not limit remedies that cannot legally be waived.</w:t>
      </w:r>
    </w:p>
    <w:p>
      <w:pPr>
        <w:keepLines/>
      </w:pPr>
      <w:r>
        <w:rPr>
          <w:rFonts w:ascii="Calibri" w:hAnsi="Calibri"/>
          <w:b/>
        </w:rPr>
        <w:t xml:space="preserve">Payment failure. </w:t>
      </w:r>
      <w:r>
        <w:rPr>
          <w:rFonts w:ascii="Calibri" w:hAnsi="Calibri"/>
        </w:rPr>
        <w:t>Provider may suspend the Services after written notice if a payment remains unpaid for five days. Suspension does not create a new fee. Provider may end the Agreement if payment remains unresolved for 15 days.</w:t>
      </w:r>
    </w:p>
    <w:p>
      <w:pPr>
        <w:keepLines/>
      </w:pPr>
      <w:r>
        <w:rPr>
          <w:rFonts w:ascii="Calibri" w:hAnsi="Calibri"/>
          <w:b/>
        </w:rPr>
        <w:t xml:space="preserve">Usage and taxes. </w:t>
      </w:r>
      <w:r>
        <w:rPr>
          <w:rFonts w:ascii="Calibri" w:hAnsi="Calibri"/>
        </w:rPr>
        <w:t>Phone, text, model, advertising, and third-party charges are excluded unless Client approves the provider, purpose, estimated amount, and spending cap in writing. Client is responsible for applicable transaction taxes, excluding taxes on Provider's net income.</w:t>
      </w:r>
    </w:p>
    <w:p>
      <w:pPr>
        <w:pStyle w:val="Heading1"/>
        <w:keepNext/>
      </w:pPr>
      <w:r>
        <w:t>Term and termination</w:t>
      </w:r>
    </w:p>
    <w:p>
      <w:pPr>
        <w:keepLines/>
      </w:pPr>
      <w:r>
        <w:rPr>
          <w:rFonts w:ascii="Calibri" w:hAnsi="Calibri"/>
          <w:b/>
        </w:rPr>
        <w:t xml:space="preserve">Month-to-month term. </w:t>
      </w:r>
      <w:r>
        <w:rPr>
          <w:rFonts w:ascii="Calibri" w:hAnsi="Calibri"/>
        </w:rPr>
        <w:t>The Agreement begins on the Effective Date and continues month to month until canceled. Either party may decline to renew. Provider will give at least 15 days' notice of a nonrenewal unless immediate suspension or termination is permitted below.</w:t>
      </w:r>
    </w:p>
    <w:p>
      <w:pPr>
        <w:keepLines/>
      </w:pPr>
      <w:r>
        <w:rPr>
          <w:rFonts w:ascii="Calibri" w:hAnsi="Calibri"/>
          <w:b/>
        </w:rPr>
        <w:t xml:space="preserve">Termination for cause. </w:t>
      </w:r>
      <w:r>
        <w:rPr>
          <w:rFonts w:ascii="Calibri" w:hAnsi="Calibri"/>
        </w:rPr>
        <w:t>Either party may terminate for a material breach that is not cured within 10 days after written notice. Provider may suspend or terminate immediately for unlawful use, a credible security threat, repeated misuse of customer data, deliberate deception, or instructions that would create material legal or safety risk.</w:t>
      </w:r>
    </w:p>
    <w:p>
      <w:pPr>
        <w:keepLines/>
      </w:pPr>
      <w:r>
        <w:rPr>
          <w:rFonts w:ascii="Calibri" w:hAnsi="Calibri"/>
          <w:b/>
        </w:rPr>
        <w:t xml:space="preserve">Effect of termination. </w:t>
      </w:r>
      <w:r>
        <w:rPr>
          <w:rFonts w:ascii="Calibri" w:hAnsi="Calibri"/>
        </w:rPr>
        <w:t>Accrued payment obligations survive. At Client's request made within 30 days after termination, Provider will make a reasonable export of Client lead records in a commonly used format, subject to law, security, and third-party limits. Provider may then delete or de-identify Client data as described below.</w:t>
      </w:r>
    </w:p>
    <w:p>
      <w:pPr>
        <w:pStyle w:val="Heading1"/>
        <w:keepNext/>
      </w:pPr>
      <w:r>
        <w:t>Third-party services</w:t>
      </w:r>
    </w:p>
    <w:p>
      <w:pPr>
        <w:keepLines/>
      </w:pPr>
      <w:r>
        <w:rPr>
          <w:rFonts w:ascii="Calibri" w:hAnsi="Calibri"/>
          <w:b/>
        </w:rPr>
        <w:t xml:space="preserve">Third-party accounts. </w:t>
      </w:r>
      <w:r>
        <w:rPr>
          <w:rFonts w:ascii="Calibri" w:hAnsi="Calibri"/>
        </w:rPr>
        <w:t>The Services may depend on Stripe, hosting, email, phone, messaging, model, or other providers. Those providers' terms, limits, availability, and security practices apply to their systems.</w:t>
      </w:r>
    </w:p>
    <w:p>
      <w:pPr>
        <w:keepLines/>
      </w:pPr>
      <w:r>
        <w:rPr>
          <w:rFonts w:ascii="Calibri" w:hAnsi="Calibri"/>
          <w:b/>
        </w:rPr>
        <w:t xml:space="preserve">No surprise activation. </w:t>
      </w:r>
      <w:r>
        <w:rPr>
          <w:rFonts w:ascii="Calibri" w:hAnsi="Calibri"/>
        </w:rPr>
        <w:t>Provider will not activate a paid third-party account for Client, accept new recurring charges for Client, or increase an approved usage cap without Client's written approval.</w:t>
      </w:r>
    </w:p>
    <w:p>
      <w:pPr>
        <w:keepLines/>
      </w:pPr>
      <w:r>
        <w:rPr>
          <w:rFonts w:ascii="Calibri" w:hAnsi="Calibri"/>
          <w:b/>
        </w:rPr>
        <w:t xml:space="preserve">Outages and changes. </w:t>
      </w:r>
      <w:r>
        <w:rPr>
          <w:rFonts w:ascii="Calibri" w:hAnsi="Calibri"/>
        </w:rPr>
        <w:t>Provider is not responsible for a third party's outage, account enforcement, policy change, pricing change, or data loss, but Provider will use reasonable efforts to communicate material issues and restore or replace the affected workflow when practical.</w:t>
      </w:r>
    </w:p>
    <w:p>
      <w:pPr>
        <w:pStyle w:val="Heading1"/>
        <w:keepNext/>
      </w:pPr>
      <w:r>
        <w:t>Customer communications and legal compliance</w:t>
      </w:r>
    </w:p>
    <w:p>
      <w:pPr>
        <w:keepLines/>
      </w:pPr>
      <w:r>
        <w:rPr>
          <w:rFonts w:ascii="Calibri" w:hAnsi="Calibri"/>
          <w:b/>
        </w:rPr>
        <w:t xml:space="preserve">Inbound experiences. </w:t>
      </w:r>
      <w:r>
        <w:rPr>
          <w:rFonts w:ascii="Calibri" w:hAnsi="Calibri"/>
        </w:rPr>
        <w:t>An inbound AI receptionist or web assistant will follow the approved disclosure, intake, consent, escalation, and data-minimization rules. Audio recording will remain disabled unless the parties approve a separate lawful recording plan in writing.</w:t>
      </w:r>
    </w:p>
    <w:p>
      <w:pPr>
        <w:keepLines/>
      </w:pPr>
      <w:r>
        <w:rPr>
          <w:rFonts w:ascii="Calibri" w:hAnsi="Calibri"/>
          <w:b/>
        </w:rPr>
        <w:t xml:space="preserve">Outbound contact. </w:t>
      </w:r>
      <w:r>
        <w:rPr>
          <w:rFonts w:ascii="Calibri" w:hAnsi="Calibri"/>
        </w:rPr>
        <w:t>Client is responsible for supplying lawful recipient lists and documented consent appropriate to each outbound call, text, or email. Client must provide current opt-out, do-not-contact, suppression, and quiet-hours rules. Provider may require evidence of consent before activation.</w:t>
      </w:r>
    </w:p>
    <w:p>
      <w:pPr>
        <w:keepLines/>
      </w:pPr>
      <w:r>
        <w:rPr>
          <w:rFonts w:ascii="Calibri" w:hAnsi="Calibri"/>
          <w:b/>
        </w:rPr>
        <w:t xml:space="preserve">Client business compliance. </w:t>
      </w:r>
      <w:r>
        <w:rPr>
          <w:rFonts w:ascii="Calibri" w:hAnsi="Calibri"/>
        </w:rPr>
        <w:t>Client remains responsible for the legality and accuracy of its services, prices, offers, before-and-after claims, warranties, licenses, taxes, and customer relationships. Provider does not act as Client's lawyer, accountant, insurer, employer, or licensed auto-detailing operator.</w:t>
      </w:r>
    </w:p>
    <w:p>
      <w:pPr>
        <w:pStyle w:val="Heading1"/>
        <w:keepNext/>
      </w:pPr>
      <w:r>
        <w:t>Data protection and security</w:t>
      </w:r>
    </w:p>
    <w:p>
      <w:pPr>
        <w:keepLines/>
      </w:pPr>
      <w:r>
        <w:rPr>
          <w:rFonts w:ascii="Calibri" w:hAnsi="Calibri"/>
          <w:b/>
        </w:rPr>
        <w:t xml:space="preserve">Roles and instructions. </w:t>
      </w:r>
      <w:r>
        <w:rPr>
          <w:rFonts w:ascii="Calibri" w:hAnsi="Calibri"/>
        </w:rPr>
        <w:t>As between the parties, Client controls the business purposes for its customer and lead data. Provider will process that data only to provide, secure, support, and improve the Client-specific Services, comply with law, and follow documented Client instructions consistent with this Agreement.</w:t>
      </w:r>
    </w:p>
    <w:p>
      <w:pPr>
        <w:keepLines/>
      </w:pPr>
      <w:r>
        <w:rPr>
          <w:rFonts w:ascii="Calibri" w:hAnsi="Calibri"/>
          <w:b/>
        </w:rPr>
        <w:t xml:space="preserve">Ownership and sale. </w:t>
      </w:r>
      <w:r>
        <w:rPr>
          <w:rFonts w:ascii="Calibri" w:hAnsi="Calibri"/>
        </w:rPr>
        <w:t>Client retains ownership of Client customer data. Provider will not sell Client customer data or use it for unrelated advertising.</w:t>
      </w:r>
    </w:p>
    <w:p>
      <w:pPr>
        <w:keepLines/>
      </w:pPr>
      <w:r>
        <w:rPr>
          <w:rFonts w:ascii="Calibri" w:hAnsi="Calibri"/>
          <w:b/>
        </w:rPr>
        <w:t xml:space="preserve">Safeguards. </w:t>
      </w:r>
      <w:r>
        <w:rPr>
          <w:rFonts w:ascii="Calibri" w:hAnsi="Calibri"/>
        </w:rPr>
        <w:t>Provider will use commercially reasonable administrative, technical, and organizational safeguards appropriate to the size and nature of the Services. Client acknowledges that no internet service is completely secure.</w:t>
      </w:r>
    </w:p>
    <w:p>
      <w:pPr>
        <w:keepLines/>
      </w:pPr>
      <w:r>
        <w:rPr>
          <w:rFonts w:ascii="Calibri" w:hAnsi="Calibri"/>
          <w:b/>
        </w:rPr>
        <w:t xml:space="preserve">Incidents. </w:t>
      </w:r>
      <w:r>
        <w:rPr>
          <w:rFonts w:ascii="Calibri" w:hAnsi="Calibri"/>
        </w:rPr>
        <w:t>Provider will notify Client without unreasonable delay after confirming a security incident that materially affects Client customer data in Provider's control and will reasonably cooperate with Client's lawful response obligations.</w:t>
      </w:r>
    </w:p>
    <w:p>
      <w:pPr>
        <w:keepLines/>
      </w:pPr>
      <w:r>
        <w:rPr>
          <w:rFonts w:ascii="Calibri" w:hAnsi="Calibri"/>
          <w:b/>
        </w:rPr>
        <w:t xml:space="preserve">Retention and deletion. </w:t>
      </w:r>
      <w:r>
        <w:rPr>
          <w:rFonts w:ascii="Calibri" w:hAnsi="Calibri"/>
        </w:rPr>
        <w:t>Provider may retain data while needed for the Services, recordkeeping, fraud prevention, security, dispute resolution, and legal obligations. After termination, Provider will delete or de-identify Client customer data within a reasonable period, subject to backups and legal retention requirements.</w:t>
      </w:r>
    </w:p>
    <w:p>
      <w:pPr>
        <w:pStyle w:val="Heading1"/>
        <w:keepNext/>
      </w:pPr>
      <w:r>
        <w:t>Confidentiality</w:t>
      </w:r>
    </w:p>
    <w:p>
      <w:pPr>
        <w:keepLines/>
      </w:pPr>
      <w:r>
        <w:rPr>
          <w:rFonts w:ascii="Calibri" w:hAnsi="Calibri"/>
          <w:b/>
        </w:rPr>
        <w:t xml:space="preserve">Confidential information. </w:t>
      </w:r>
      <w:r>
        <w:rPr>
          <w:rFonts w:ascii="Calibri" w:hAnsi="Calibri"/>
        </w:rPr>
        <w:t>Each party will protect the other party's nonpublic business, technical, pricing, customer, and security information using at least reasonable care and will use it only for this Agreement.</w:t>
      </w:r>
    </w:p>
    <w:p>
      <w:pPr>
        <w:keepLines/>
      </w:pPr>
      <w:r>
        <w:rPr>
          <w:rFonts w:ascii="Calibri" w:hAnsi="Calibri"/>
          <w:b/>
        </w:rPr>
        <w:t xml:space="preserve">Exceptions. </w:t>
      </w:r>
      <w:r>
        <w:rPr>
          <w:rFonts w:ascii="Calibri" w:hAnsi="Calibri"/>
        </w:rPr>
        <w:t>Confidential information does not include information that the receiving party can show was already lawfully known, becomes public without breach, is received lawfully from another source, or is independently developed without use of the other party's confidential information.</w:t>
      </w:r>
    </w:p>
    <w:p>
      <w:pPr>
        <w:keepLines/>
      </w:pPr>
      <w:r>
        <w:rPr>
          <w:rFonts w:ascii="Calibri" w:hAnsi="Calibri"/>
          <w:b/>
        </w:rPr>
        <w:t xml:space="preserve">Required disclosure. </w:t>
      </w:r>
      <w:r>
        <w:rPr>
          <w:rFonts w:ascii="Calibri" w:hAnsi="Calibri"/>
        </w:rPr>
        <w:t>A party may disclose confidential information when legally required if it gives prompt notice when permitted and reasonably cooperates with protective measures.</w:t>
      </w:r>
    </w:p>
    <w:p>
      <w:pPr>
        <w:pStyle w:val="Heading1"/>
        <w:keepNext/>
      </w:pPr>
      <w:r>
        <w:t>Ownership and licenses</w:t>
      </w:r>
    </w:p>
    <w:p>
      <w:pPr>
        <w:keepLines/>
      </w:pPr>
      <w:r>
        <w:rPr>
          <w:rFonts w:ascii="Calibri" w:hAnsi="Calibri"/>
          <w:b/>
        </w:rPr>
        <w:t xml:space="preserve">Provider materials. </w:t>
      </w:r>
      <w:r>
        <w:rPr>
          <w:rFonts w:ascii="Calibri" w:hAnsi="Calibri"/>
        </w:rPr>
        <w:t>Provider and its licensors retain all rights in the platform, workflows, templates, prompts, software, methods, documentation, and general improvements, excluding Client materials and Client customer data.</w:t>
      </w:r>
    </w:p>
    <w:p>
      <w:pPr>
        <w:keepLines/>
      </w:pPr>
      <w:r>
        <w:rPr>
          <w:rFonts w:ascii="Calibri" w:hAnsi="Calibri"/>
          <w:b/>
        </w:rPr>
        <w:t xml:space="preserve">Client materials. </w:t>
      </w:r>
      <w:r>
        <w:rPr>
          <w:rFonts w:ascii="Calibri" w:hAnsi="Calibri"/>
        </w:rPr>
        <w:t>Client retains its trademarks, content, service information, customer data, and other materials. Client grants Provider a limited license to use them only as needed to provide and support the Services.</w:t>
      </w:r>
    </w:p>
    <w:p>
      <w:pPr>
        <w:keepLines/>
      </w:pPr>
      <w:r>
        <w:rPr>
          <w:rFonts w:ascii="Calibri" w:hAnsi="Calibri"/>
          <w:b/>
        </w:rPr>
        <w:t xml:space="preserve">Feedback and reusable know-how. </w:t>
      </w:r>
      <w:r>
        <w:rPr>
          <w:rFonts w:ascii="Calibri" w:hAnsi="Calibri"/>
        </w:rPr>
        <w:t>Provider may use general feedback and de-identified learnings that do not reveal Client confidential information or identify Client customers. Provider will not publish Client's name or logo as a customer reference without written permission.</w:t>
      </w:r>
    </w:p>
    <w:p>
      <w:pPr>
        <w:pStyle w:val="Heading1"/>
        <w:keepNext/>
      </w:pPr>
      <w:r>
        <w:t>Service standard and disclaimers</w:t>
      </w:r>
    </w:p>
    <w:p>
      <w:pPr>
        <w:keepLines/>
      </w:pPr>
      <w:r>
        <w:rPr>
          <w:rFonts w:ascii="Calibri" w:hAnsi="Calibri"/>
          <w:b/>
        </w:rPr>
        <w:t xml:space="preserve">Service commitment. </w:t>
      </w:r>
      <w:r>
        <w:rPr>
          <w:rFonts w:ascii="Calibri" w:hAnsi="Calibri"/>
        </w:rPr>
        <w:t>Provider will perform the Services in a professional and workmanlike manner consistent with the agreed scope. Client's exclusive remedy for a reproducible material failure is reasonable correction or re-performance; if that is not commercially practical, Provider may issue a proportionate service credit.</w:t>
      </w:r>
    </w:p>
    <w:p>
      <w:pPr>
        <w:keepLines/>
      </w:pPr>
      <w:r>
        <w:rPr>
          <w:rFonts w:ascii="Calibri" w:hAnsi="Calibri"/>
          <w:b/>
        </w:rPr>
        <w:t xml:space="preserve">AI and automation limits. </w:t>
      </w:r>
      <w:r>
        <w:rPr>
          <w:rFonts w:ascii="Calibri" w:hAnsi="Calibri"/>
        </w:rPr>
        <w:t>AI output can be incomplete, inaccurate, or inappropriate. The approval-first controls reduce risk but do not eliminate it. Client must review high-impact decisions, unusual messages, prices, commitments, and legally sensitive communications.</w:t>
      </w:r>
    </w:p>
    <w:p>
      <w:pPr>
        <w:keepLines/>
      </w:pPr>
      <w:r>
        <w:rPr>
          <w:rFonts w:ascii="Calibri" w:hAnsi="Calibri"/>
          <w:b/>
        </w:rPr>
        <w:t xml:space="preserve">No results guarantee. </w:t>
      </w:r>
      <w:r>
        <w:rPr>
          <w:rFonts w:ascii="Calibri" w:hAnsi="Calibri"/>
        </w:rPr>
        <w:t>Provider does not guarantee leads, bookings, revenue, reviews, search rankings, customer retention, response rates, or profitability. Results depend on demand, Client pricing, availability, reputation, service quality, customer behavior, and other factors outside Provider's control.</w:t>
      </w:r>
    </w:p>
    <w:p>
      <w:pPr>
        <w:keepLines/>
      </w:pPr>
      <w:r>
        <w:rPr>
          <w:rFonts w:ascii="Calibri" w:hAnsi="Calibri"/>
          <w:b/>
        </w:rPr>
        <w:t xml:space="preserve">Disclaimer. </w:t>
      </w:r>
      <w:r>
        <w:rPr>
          <w:rFonts w:ascii="Calibri" w:hAnsi="Calibri"/>
        </w:rPr>
        <w:t>Except for the express service commitment above and to the maximum extent permitted by law, the Services are provided as is and as available, and Provider disclaims implied warranties of merchantability, fitness for a particular purpose, noninfringement, and uninterrupted or error-free operation.</w:t>
      </w:r>
    </w:p>
    <w:p>
      <w:pPr>
        <w:pStyle w:val="Heading1"/>
        <w:keepNext/>
      </w:pPr>
      <w:r>
        <w:t>Limitation of liability</w:t>
      </w:r>
    </w:p>
    <w:p>
      <w:pPr>
        <w:keepLines/>
      </w:pPr>
      <w:r>
        <w:rPr>
          <w:rFonts w:ascii="Calibri" w:hAnsi="Calibri"/>
          <w:b/>
        </w:rPr>
        <w:t xml:space="preserve">Excluded damages. </w:t>
      </w:r>
      <w:r>
        <w:rPr>
          <w:rFonts w:ascii="Calibri" w:hAnsi="Calibri"/>
        </w:rPr>
        <w:t>To the maximum extent permitted by law, neither party will be liable for indirect, incidental, special, exemplary, punitive, or consequential damages, or for lost profits, revenue, goodwill, or data, even if advised that such loss was possible.</w:t>
      </w:r>
    </w:p>
    <w:p>
      <w:pPr>
        <w:keepLines/>
      </w:pPr>
      <w:r>
        <w:rPr>
          <w:rFonts w:ascii="Calibri" w:hAnsi="Calibri"/>
          <w:b/>
        </w:rPr>
        <w:t xml:space="preserve">Liability cap. </w:t>
      </w:r>
      <w:r>
        <w:rPr>
          <w:rFonts w:ascii="Calibri" w:hAnsi="Calibri"/>
        </w:rPr>
        <w:t>Except for excluded claims below, each party's total liability arising from this Agreement will not exceed the fees paid or payable to Provider during the six months immediately before the event giving rise to the claim.</w:t>
      </w:r>
    </w:p>
    <w:p>
      <w:pPr>
        <w:keepLines/>
      </w:pPr>
      <w:r>
        <w:rPr>
          <w:rFonts w:ascii="Calibri" w:hAnsi="Calibri"/>
          <w:b/>
        </w:rPr>
        <w:t xml:space="preserve">Excluded claims. </w:t>
      </w:r>
      <w:r>
        <w:rPr>
          <w:rFonts w:ascii="Calibri" w:hAnsi="Calibri"/>
        </w:rPr>
        <w:t>The exclusions and cap do not apply to Client's payment obligations; either party's fraud, willful misconduct, or gross negligence; Client's unlawful communications or misuse of personal data; or a party's infringement or misappropriation of the other party's intellectual property. A court may apply any mandatory nonwaivable liability that cannot lawfully be limited.</w:t>
      </w:r>
    </w:p>
    <w:p>
      <w:pPr>
        <w:pStyle w:val="Heading1"/>
        <w:keepNext/>
      </w:pPr>
      <w:r>
        <w:t>Indemnification</w:t>
      </w:r>
    </w:p>
    <w:p>
      <w:pPr>
        <w:keepLines/>
      </w:pPr>
      <w:r>
        <w:rPr>
          <w:rFonts w:ascii="Calibri" w:hAnsi="Calibri"/>
          <w:b/>
        </w:rPr>
        <w:t xml:space="preserve">Client indemnity. </w:t>
      </w:r>
      <w:r>
        <w:rPr>
          <w:rFonts w:ascii="Calibri" w:hAnsi="Calibri"/>
        </w:rPr>
        <w:t>Client will defend and indemnify Provider and its personnel against third-party claims, penalties, and reasonable costs arising from Client materials, unlawful or unconsented customer communications, Client's services or promises to its customers, Client's violation of law, or Client's use of the Services outside the approved rules.</w:t>
      </w:r>
    </w:p>
    <w:p>
      <w:pPr>
        <w:keepLines/>
      </w:pPr>
      <w:r>
        <w:rPr>
          <w:rFonts w:ascii="Calibri" w:hAnsi="Calibri"/>
          <w:b/>
        </w:rPr>
        <w:t xml:space="preserve">Provider indemnity. </w:t>
      </w:r>
      <w:r>
        <w:rPr>
          <w:rFonts w:ascii="Calibri" w:hAnsi="Calibri"/>
        </w:rPr>
        <w:t>Provider will defend and indemnify Client against a third-party claim that Provider's original software or materials, when used as authorized, directly infringe a United States intellectual-property right. Provider may modify or replace the affected material or end the affected Service and refund any prepaid unused monthly fee.</w:t>
      </w:r>
    </w:p>
    <w:p>
      <w:pPr>
        <w:keepLines/>
      </w:pPr>
      <w:r>
        <w:rPr>
          <w:rFonts w:ascii="Calibri" w:hAnsi="Calibri"/>
          <w:b/>
        </w:rPr>
        <w:t xml:space="preserve">Process. </w:t>
      </w:r>
      <w:r>
        <w:rPr>
          <w:rFonts w:ascii="Calibri" w:hAnsi="Calibri"/>
        </w:rPr>
        <w:t>The protected party must promptly notify the indemnifying party, allow it to control the defense and settlement, and provide reasonable cooperation. No settlement may admit fault or impose a nonmonetary obligation on the protected party without its written consent.</w:t>
      </w:r>
    </w:p>
    <w:p>
      <w:pPr>
        <w:pStyle w:val="Heading1"/>
        <w:keepNext/>
      </w:pPr>
      <w:r>
        <w:t>Disputes and governing law</w:t>
      </w:r>
    </w:p>
    <w:p>
      <w:pPr>
        <w:keepLines/>
      </w:pPr>
      <w:r>
        <w:rPr>
          <w:rFonts w:ascii="Calibri" w:hAnsi="Calibri"/>
          <w:b/>
        </w:rPr>
        <w:t xml:space="preserve">Good-faith discussion. </w:t>
      </w:r>
      <w:r>
        <w:rPr>
          <w:rFonts w:ascii="Calibri" w:hAnsi="Calibri"/>
        </w:rPr>
        <w:t>Before filing a lawsuit, an authorized representative of each party will meet by phone or video within 15 days after written dispute notice and try in good faith to resolve the matter. Either party may seek urgent injunctive relief without waiting.</w:t>
      </w:r>
    </w:p>
    <w:p>
      <w:pPr>
        <w:keepLines/>
      </w:pPr>
      <w:r>
        <w:rPr>
          <w:rFonts w:ascii="Calibri" w:hAnsi="Calibri"/>
          <w:b/>
        </w:rPr>
        <w:t xml:space="preserve">Washington law and venue. </w:t>
      </w:r>
      <w:r>
        <w:rPr>
          <w:rFonts w:ascii="Calibri" w:hAnsi="Calibri"/>
        </w:rPr>
        <w:t>Washington law governs this Agreement without regard to conflict-of-law rules. Subject to any mandatory forum law, the state and federal courts located in Pierce County, Washington will have exclusive jurisdiction, and each party consents to that venue.</w:t>
      </w:r>
    </w:p>
    <w:p>
      <w:pPr>
        <w:pStyle w:val="Heading1"/>
        <w:keepNext/>
      </w:pPr>
      <w:r>
        <w:t>General terms</w:t>
      </w:r>
    </w:p>
    <w:p>
      <w:pPr>
        <w:keepLines/>
      </w:pPr>
      <w:r>
        <w:rPr>
          <w:rFonts w:ascii="Calibri" w:hAnsi="Calibri"/>
          <w:b/>
        </w:rPr>
        <w:t xml:space="preserve">Independent contractors. </w:t>
      </w:r>
      <w:r>
        <w:rPr>
          <w:rFonts w:ascii="Calibri" w:hAnsi="Calibri"/>
        </w:rPr>
        <w:t>The parties are independent contractors. This Agreement does not create employment, agency, partnership, franchise, fiduciary, or joint-venture duties.</w:t>
      </w:r>
    </w:p>
    <w:p>
      <w:pPr>
        <w:keepLines/>
      </w:pPr>
      <w:r>
        <w:rPr>
          <w:rFonts w:ascii="Calibri" w:hAnsi="Calibri"/>
          <w:b/>
        </w:rPr>
        <w:t xml:space="preserve">Notices. </w:t>
      </w:r>
      <w:r>
        <w:rPr>
          <w:rFonts w:ascii="Calibri" w:hAnsi="Calibri"/>
        </w:rPr>
        <w:t>Operational notices may be sent by email to the contacts in Exhibit A. Legal notices must be sent by email with confirmation of receipt and by nationally recognized overnight delivery to the notice address listed in the signature block or a later written update.</w:t>
      </w:r>
    </w:p>
    <w:p>
      <w:pPr>
        <w:keepLines/>
      </w:pPr>
      <w:r>
        <w:rPr>
          <w:rFonts w:ascii="Calibri" w:hAnsi="Calibri"/>
          <w:b/>
        </w:rPr>
        <w:t xml:space="preserve">Assignment. </w:t>
      </w:r>
      <w:r>
        <w:rPr>
          <w:rFonts w:ascii="Calibri" w:hAnsi="Calibri"/>
        </w:rPr>
        <w:t>Neither party may assign this Agreement without the other's consent, except to an affiliate or in connection with a merger, reorganization, sale of substantially all assets, or sale of the relevant business, if the assignee accepts this Agreement. Client may not assign to a direct competitor of Provider without consent.</w:t>
      </w:r>
    </w:p>
    <w:p>
      <w:pPr>
        <w:keepLines/>
      </w:pPr>
      <w:r>
        <w:rPr>
          <w:rFonts w:ascii="Calibri" w:hAnsi="Calibri"/>
          <w:b/>
        </w:rPr>
        <w:t xml:space="preserve">Force majeure. </w:t>
      </w:r>
      <w:r>
        <w:rPr>
          <w:rFonts w:ascii="Calibri" w:hAnsi="Calibri"/>
        </w:rPr>
        <w:t>Neither party is liable for delay caused by events beyond reasonable control, excluding payment obligations. The affected party will give notice and use reasonable efforts to reduce the delay.</w:t>
      </w:r>
    </w:p>
    <w:p>
      <w:pPr>
        <w:keepLines/>
      </w:pPr>
      <w:r>
        <w:rPr>
          <w:rFonts w:ascii="Calibri" w:hAnsi="Calibri"/>
          <w:b/>
        </w:rPr>
        <w:t xml:space="preserve">Entire agreement. </w:t>
      </w:r>
      <w:r>
        <w:rPr>
          <w:rFonts w:ascii="Calibri" w:hAnsi="Calibri"/>
        </w:rPr>
        <w:t>This Agreement, its Exhibits, and signed change orders are the entire agreement about the Services and replace prior proposals or discussions on that subject. Purchase-order boilerplate does not amend this Agreement.</w:t>
      </w:r>
    </w:p>
    <w:p>
      <w:pPr>
        <w:keepLines/>
      </w:pPr>
      <w:r>
        <w:rPr>
          <w:rFonts w:ascii="Calibri" w:hAnsi="Calibri"/>
          <w:b/>
        </w:rPr>
        <w:t xml:space="preserve">Amendment; waiver; severability. </w:t>
      </w:r>
      <w:r>
        <w:rPr>
          <w:rFonts w:ascii="Calibri" w:hAnsi="Calibri"/>
        </w:rPr>
        <w:t>Amendments must be in writing and accepted by both parties. A waiver must be written and applies only to the stated instance. If a term is unenforceable, it will be limited to the minimum extent necessary and the remaining terms will continue.</w:t>
      </w:r>
    </w:p>
    <w:p>
      <w:pPr>
        <w:keepLines/>
      </w:pPr>
      <w:r>
        <w:rPr>
          <w:rFonts w:ascii="Calibri" w:hAnsi="Calibri"/>
          <w:b/>
        </w:rPr>
        <w:t xml:space="preserve">Electronic signatures. </w:t>
      </w:r>
      <w:r>
        <w:rPr>
          <w:rFonts w:ascii="Calibri" w:hAnsi="Calibri"/>
        </w:rPr>
        <w:t>The parties agree to conduct this transaction electronically. Electronic signatures and counterparts are effective, and together form one agreement.</w:t>
      </w:r>
    </w:p>
    <w:p>
      <w:pPr>
        <w:pStyle w:val="Heading1"/>
        <w:keepNext/>
      </w:pPr>
      <w:r>
        <w:t>Exhibit A - Founding Client Order Form</w:t>
      </w:r>
    </w:p>
    <w:p>
      <w:pPr>
        <w:spacing w:after="200"/>
      </w:pPr>
      <w:r>
        <w:t>This Order Form is incorporated into the Client Service Agreement. Bracketed fields must be completed before signature.</w:t>
      </w:r>
    </w:p>
    <w:tbl>
      <w:tblPr>
        <w:tblW w:type="dxa" w:w="9360"/>
        <w:jc w:val="left"/>
        <w:tblLayout w:type="fixed"/>
        <w:tblLook w:firstColumn="1" w:firstRow="1" w:lastColumn="0" w:lastRow="0" w:noHBand="0" w:noVBand="1" w:val="04A0"/>
        <w:tblInd w:w="120" w:type="dxa"/>
        <w:tblBorders>
          <w:top w:val="single" w:sz="5" w:space="0" w:color="CBD4D1"/>
          <w:left w:val="single" w:sz="5" w:space="0" w:color="CBD4D1"/>
          <w:bottom w:val="single" w:sz="5" w:space="0" w:color="CBD4D1"/>
          <w:right w:val="single" w:sz="5" w:space="0" w:color="CBD4D1"/>
          <w:insideH w:val="single" w:sz="5" w:space="0" w:color="CBD4D1"/>
          <w:insideV w:val="single" w:sz="5" w:space="0" w:color="CBD4D1"/>
        </w:tblBorders>
      </w:tblPr>
      <w:tblGrid>
        <w:gridCol w:w="2700"/>
        <w:gridCol w:w="4800"/>
        <w:gridCol w:w="1860"/>
      </w:tblGrid>
      <w:tr>
        <w:tc>
          <w:tcPr>
            <w:tcW w:type="dxa" w:w="2700"/>
            <w:vAlign w:val="center"/>
            <w:tcMar>
              <w:top w:w="100" w:type="dxa"/>
              <w:start w:w="140" w:type="dxa"/>
              <w:bottom w:w="100" w:type="dxa"/>
              <w:end w:w="140" w:type="dxa"/>
            </w:tcMar>
            <w:shd w:fill="EFF5F1"/>
          </w:tcPr>
          <w:p>
            <w:pPr>
              <w:spacing w:after="0"/>
            </w:pPr>
            <w:r>
              <w:rPr>
                <w:rFonts w:ascii="Calibri" w:hAnsi="Calibri"/>
                <w:b/>
                <w:color w:val="173D35"/>
                <w:sz w:val="20"/>
              </w:rPr>
              <w:t>Item</w:t>
            </w:r>
          </w:p>
        </w:tc>
        <w:tc>
          <w:tcPr>
            <w:tcW w:type="dxa" w:w="4800"/>
            <w:vAlign w:val="center"/>
            <w:tcMar>
              <w:top w:w="100" w:type="dxa"/>
              <w:start w:w="140" w:type="dxa"/>
              <w:bottom w:w="100" w:type="dxa"/>
              <w:end w:w="140" w:type="dxa"/>
            </w:tcMar>
            <w:shd w:fill="EFF5F1"/>
          </w:tcPr>
          <w:p>
            <w:pPr>
              <w:spacing w:after="0"/>
            </w:pPr>
            <w:r>
              <w:rPr>
                <w:rFonts w:ascii="Calibri" w:hAnsi="Calibri"/>
                <w:b/>
                <w:color w:val="173D35"/>
                <w:sz w:val="20"/>
              </w:rPr>
              <w:t>Scope / timing</w:t>
            </w:r>
          </w:p>
        </w:tc>
        <w:tc>
          <w:tcPr>
            <w:tcW w:type="dxa" w:w="1860"/>
            <w:vAlign w:val="center"/>
            <w:tcMar>
              <w:top w:w="100" w:type="dxa"/>
              <w:start w:w="140" w:type="dxa"/>
              <w:bottom w:w="100" w:type="dxa"/>
              <w:end w:w="140" w:type="dxa"/>
            </w:tcMar>
            <w:shd w:fill="EFF5F1"/>
          </w:tcPr>
          <w:p>
            <w:pPr>
              <w:spacing w:after="0"/>
            </w:pPr>
            <w:r>
              <w:rPr>
                <w:rFonts w:ascii="Calibri" w:hAnsi="Calibri"/>
                <w:b/>
                <w:color w:val="173D35"/>
                <w:sz w:val="20"/>
              </w:rPr>
              <w:t>Fee</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Installation</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Workflow map, intake setup, approval queue, templates, launch configuration</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$297 one time</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Monthly service</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One shop, one primary service area; begins [date] and renews monthly</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$497 / month</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Included tuning</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First 30 calendar days after launch</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Included</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Website assistant</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Lead capture, qualification, and escalation within approved rules</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Included</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Follow-up system</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Missed-call, estimate, reactivation, and review-request workflows</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Included</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AI phone layer</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Only if separately approved in writing, including number, provider, scripts, limits, and usage cap</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Not included</w:t>
            </w:r>
          </w:p>
        </w:tc>
      </w:tr>
      <w:tr>
        <w:tc>
          <w:tcPr>
            <w:tcW w:type="dxa" w:w="2700"/>
            <w:vAlign w:val="center"/>
            <w:tcMar>
              <w:top w:w="100" w:type="dxa"/>
              <w:start w:w="140" w:type="dxa"/>
              <w:bottom w:w="100" w:type="dxa"/>
              <w:end w:w="140" w:type="dxa"/>
            </w:tcMar>
          </w:tcPr>
          <w:p>
            <w:pPr>
              <w:spacing w:after="0"/>
            </w:pPr>
            <w:r>
              <w:rPr>
                <w:rFonts w:ascii="Calibri" w:hAnsi="Calibri"/>
                <w:b/>
                <w:color w:val="181D1C"/>
                <w:sz w:val="19"/>
              </w:rPr>
              <w:t>Pass-through usage</w:t>
            </w:r>
          </w:p>
        </w:tc>
        <w:tc>
          <w:tcPr>
            <w:tcW w:type="dxa" w:w="4800"/>
            <w:vAlign w:val="center"/>
            <w:tcMar>
              <w:top w:w="100" w:type="dxa"/>
              <w:start w:w="140" w:type="dxa"/>
              <w:bottom w:w="100" w:type="dxa"/>
              <w:end w:w="140" w:type="dxa"/>
            </w:tcMar>
          </w:tcPr>
          <w:p>
            <w:pPr>
              <w:spacing w:after="0"/>
            </w:pPr>
            <w:r>
              <w:rPr>
                <w:rFonts w:ascii="Calibri" w:hAnsi="Calibri"/>
                <w:b w:val="0"/>
                <w:color w:val="181D1C"/>
                <w:sz w:val="19"/>
              </w:rPr>
              <w:t>Phone, text, model, or third-party costs only after written approval</w:t>
            </w:r>
          </w:p>
        </w:tc>
        <w:tc>
          <w:tcPr>
            <w:tcW w:type="dxa" w:w="1860"/>
            <w:vAlign w:val="center"/>
            <w:tcMar>
              <w:top w:w="100" w:type="dxa"/>
              <w:start w:w="140" w:type="dxa"/>
              <w:bottom w:w="100" w:type="dxa"/>
              <w:end w:w="140" w:type="dxa"/>
            </w:tcMar>
          </w:tcPr>
          <w:p>
            <w:pPr>
              <w:spacing w:after="0"/>
            </w:pPr>
            <w:r>
              <w:rPr>
                <w:rFonts w:ascii="Calibri" w:hAnsi="Calibri"/>
                <w:b w:val="0"/>
                <w:color w:val="181D1C"/>
                <w:sz w:val="19"/>
              </w:rPr>
              <w:t>$0 until approved</w:t>
            </w:r>
          </w:p>
        </w:tc>
      </w:tr>
    </w:tbl>
    <w:p>
      <w:pPr>
        <w:pStyle w:val="Heading2"/>
        <w:keepNext/>
      </w:pPr>
      <w:r>
        <w:t>Client configuration</w:t>
      </w:r>
    </w:p>
    <w:tbl>
      <w:tblPr>
        <w:tblW w:type="dxa" w:w="9360"/>
        <w:jc w:val="left"/>
        <w:tblLayout w:type="fixed"/>
        <w:tblLook w:firstColumn="1" w:firstRow="1" w:lastColumn="0" w:lastRow="0" w:noHBand="0" w:noVBand="1" w:val="04A0"/>
        <w:tblInd w:w="120" w:type="dxa"/>
        <w:tblBorders>
          <w:top w:val="single" w:sz="5" w:space="0" w:color="CBD4D1"/>
          <w:left w:val="single" w:sz="5" w:space="0" w:color="CBD4D1"/>
          <w:bottom w:val="single" w:sz="5" w:space="0" w:color="CBD4D1"/>
          <w:right w:val="single" w:sz="5" w:space="0" w:color="CBD4D1"/>
          <w:insideH w:val="single" w:sz="5" w:space="0" w:color="CBD4D1"/>
          <w:insideV w:val="single" w:sz="5" w:space="0" w:color="CBD4D1"/>
        </w:tblBorders>
      </w:tblPr>
      <w:tblGrid>
        <w:gridCol w:w="2700"/>
        <w:gridCol w:w="6660"/>
      </w:tblGrid>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Business / shop</w:t>
            </w:r>
          </w:p>
        </w:tc>
        <w:tc>
          <w:tcPr>
            <w:tcW w:type="dxa" w:w="6660"/>
            <w:vAlign w:val="center"/>
            <w:tcMar>
              <w:top w:w="100" w:type="dxa"/>
              <w:start w:w="140" w:type="dxa"/>
              <w:bottom w:w="100" w:type="dxa"/>
              <w:end w:w="140" w:type="dxa"/>
            </w:tcMar>
          </w:tcPr>
          <w:p>
            <w:pPr>
              <w:spacing w:after="0"/>
            </w:pPr>
            <w:r>
              <w:rPr>
                <w:rFonts w:ascii="Calibri" w:hAnsi="Calibri"/>
                <w:color w:val="181D1C"/>
                <w:sz w:val="20"/>
              </w:rPr>
              <w:t>[Client business name]</w:t>
            </w:r>
          </w:p>
        </w:tc>
      </w:tr>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Primary service area</w:t>
            </w:r>
          </w:p>
        </w:tc>
        <w:tc>
          <w:tcPr>
            <w:tcW w:type="dxa" w:w="6660"/>
            <w:vAlign w:val="center"/>
            <w:tcMar>
              <w:top w:w="100" w:type="dxa"/>
              <w:start w:w="140" w:type="dxa"/>
              <w:bottom w:w="100" w:type="dxa"/>
              <w:end w:w="140" w:type="dxa"/>
            </w:tcMar>
          </w:tcPr>
          <w:p>
            <w:pPr>
              <w:spacing w:after="0"/>
            </w:pPr>
            <w:r>
              <w:rPr>
                <w:rFonts w:ascii="Calibri" w:hAnsi="Calibri"/>
                <w:color w:val="181D1C"/>
                <w:sz w:val="20"/>
              </w:rPr>
              <w:t>[City / region]</w:t>
            </w:r>
          </w:p>
        </w:tc>
      </w:tr>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Approved services</w:t>
            </w:r>
          </w:p>
        </w:tc>
        <w:tc>
          <w:tcPr>
            <w:tcW w:type="dxa" w:w="6660"/>
            <w:vAlign w:val="center"/>
            <w:tcMar>
              <w:top w:w="100" w:type="dxa"/>
              <w:start w:w="140" w:type="dxa"/>
              <w:bottom w:w="100" w:type="dxa"/>
              <w:end w:w="140" w:type="dxa"/>
            </w:tcMar>
          </w:tcPr>
          <w:p>
            <w:pPr>
              <w:spacing w:after="0"/>
            </w:pPr>
            <w:r>
              <w:rPr>
                <w:rFonts w:ascii="Calibri" w:hAnsi="Calibri"/>
                <w:color w:val="181D1C"/>
                <w:sz w:val="20"/>
              </w:rPr>
              <w:t>[Service list or attached price sheet]</w:t>
            </w:r>
          </w:p>
        </w:tc>
      </w:tr>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Approved starting prices</w:t>
            </w:r>
          </w:p>
        </w:tc>
        <w:tc>
          <w:tcPr>
            <w:tcW w:type="dxa" w:w="6660"/>
            <w:vAlign w:val="center"/>
            <w:tcMar>
              <w:top w:w="100" w:type="dxa"/>
              <w:start w:w="140" w:type="dxa"/>
              <w:bottom w:w="100" w:type="dxa"/>
              <w:end w:w="140" w:type="dxa"/>
            </w:tcMar>
          </w:tcPr>
          <w:p>
            <w:pPr>
              <w:spacing w:after="0"/>
            </w:pPr>
            <w:r>
              <w:rPr>
                <w:rFonts w:ascii="Calibri" w:hAnsi="Calibri"/>
                <w:color w:val="181D1C"/>
                <w:sz w:val="20"/>
              </w:rPr>
              <w:t>[Attach or write N/A]</w:t>
            </w:r>
          </w:p>
        </w:tc>
      </w:tr>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Hours and escalation contact</w:t>
            </w:r>
          </w:p>
        </w:tc>
        <w:tc>
          <w:tcPr>
            <w:tcW w:type="dxa" w:w="6660"/>
            <w:vAlign w:val="center"/>
            <w:tcMar>
              <w:top w:w="100" w:type="dxa"/>
              <w:start w:w="140" w:type="dxa"/>
              <w:bottom w:w="100" w:type="dxa"/>
              <w:end w:w="140" w:type="dxa"/>
            </w:tcMar>
          </w:tcPr>
          <w:p>
            <w:pPr>
              <w:spacing w:after="0"/>
            </w:pPr>
            <w:r>
              <w:rPr>
                <w:rFonts w:ascii="Calibri" w:hAnsi="Calibri"/>
                <w:color w:val="181D1C"/>
                <w:sz w:val="20"/>
              </w:rPr>
              <w:t>[Hours] | [Owner contact]</w:t>
            </w:r>
          </w:p>
        </w:tc>
      </w:tr>
      <w:tr>
        <w:tc>
          <w:tcPr>
            <w:tcW w:type="dxa" w:w="2700"/>
            <w:vAlign w:val="center"/>
            <w:tcMar>
              <w:top w:w="100" w:type="dxa"/>
              <w:start w:w="140" w:type="dxa"/>
              <w:bottom w:w="100" w:type="dxa"/>
              <w:end w:w="140" w:type="dxa"/>
            </w:tcMar>
            <w:shd w:fill="F2F4F3"/>
          </w:tcPr>
          <w:p>
            <w:pPr>
              <w:spacing w:after="0"/>
            </w:pPr>
            <w:r>
              <w:rPr>
                <w:rFonts w:ascii="Calibri" w:hAnsi="Calibri"/>
                <w:b/>
                <w:color w:val="173D35"/>
                <w:sz w:val="20"/>
              </w:rPr>
              <w:t>Launch target</w:t>
            </w:r>
          </w:p>
        </w:tc>
        <w:tc>
          <w:tcPr>
            <w:tcW w:type="dxa" w:w="6660"/>
            <w:vAlign w:val="center"/>
            <w:tcMar>
              <w:top w:w="100" w:type="dxa"/>
              <w:start w:w="140" w:type="dxa"/>
              <w:bottom w:w="100" w:type="dxa"/>
              <w:end w:w="140" w:type="dxa"/>
            </w:tcMar>
          </w:tcPr>
          <w:p>
            <w:pPr>
              <w:spacing w:after="0"/>
            </w:pPr>
            <w:r>
              <w:rPr>
                <w:rFonts w:ascii="Calibri" w:hAnsi="Calibri"/>
                <w:color w:val="181D1C"/>
                <w:sz w:val="20"/>
              </w:rPr>
              <w:t>Within 10 business days after required access, content, and approvals are received</w:t>
            </w:r>
          </w:p>
        </w:tc>
      </w:tr>
    </w:tbl>
    <w:p>
      <w:pPr>
        <w:keepLines/>
      </w:pPr>
      <w:r>
        <w:rPr>
          <w:rFonts w:ascii="Calibri" w:hAnsi="Calibri"/>
          <w:b/>
        </w:rPr>
        <w:t xml:space="preserve">Acceptance criteria. </w:t>
      </w:r>
      <w:r>
        <w:rPr>
          <w:rFonts w:ascii="Calibri" w:hAnsi="Calibri"/>
        </w:rPr>
        <w:t>Installation is accepted when the agreed intake and approval workflow is available for Client testing and material launch-blocking defects reported during the review window have been corrected. Minor preferences and later optimization requests do not delay acceptance.</w:t>
      </w:r>
    </w:p>
    <w:p>
      <w:pPr>
        <w:keepLines/>
      </w:pPr>
      <w:r>
        <w:rPr>
          <w:rFonts w:ascii="Calibri" w:hAnsi="Calibri"/>
          <w:b/>
        </w:rPr>
        <w:t xml:space="preserve">Review window. </w:t>
      </w:r>
      <w:r>
        <w:rPr>
          <w:rFonts w:ascii="Calibri" w:hAnsi="Calibri"/>
        </w:rPr>
        <w:t>Client will test the installation and report material defects within five business days after notice that it is ready. If Client does not respond, the system may be treated as accepted for billing and scheduling purposes, but Provider will still correct reproducible defects covered by this Agreement.</w:t>
      </w:r>
    </w:p>
    <w:p>
      <w:pPr>
        <w:pStyle w:val="Heading1"/>
        <w:keepNext/>
      </w:pPr>
      <w:r>
        <w:t>Exhibit B - Approval and Compliance Rules</w:t>
      </w:r>
    </w:p>
    <w:p>
      <w:pPr>
        <w:keepLines/>
      </w:pPr>
      <w:r>
        <w:rPr>
          <w:rFonts w:ascii="Calibri" w:hAnsi="Calibri"/>
          <w:b/>
        </w:rPr>
        <w:t xml:space="preserve">Approval standard. </w:t>
      </w:r>
      <w:r>
        <w:rPr>
          <w:rFonts w:ascii="Calibri" w:hAnsi="Calibri"/>
        </w:rPr>
        <w:t>Written approval may be given by email or through an agreed owner-control interface. Silence is not approval for customer-facing commitments or new usage costs.</w:t>
      </w:r>
    </w:p>
    <w:p>
      <w:pPr>
        <w:numPr>
          <w:ilvl w:val="0"/>
          <w:numId w:val="10"/>
        </w:numPr>
        <w:spacing w:after="160" w:line="280" w:lineRule="auto"/>
      </w:pPr>
      <w:r>
        <w:rPr>
          <w:rFonts w:ascii="Calibri" w:hAnsi="Calibri"/>
        </w:rPr>
        <w:t>Prices, discounts, refunds, guarantees, appointment confirmations, campaign audiences, and public claims require Client approval unless a later signed change order creates a tested automatic rule.</w:t>
      </w:r>
    </w:p>
    <w:p>
      <w:pPr>
        <w:numPr>
          <w:ilvl w:val="0"/>
          <w:numId w:val="10"/>
        </w:numPr>
        <w:spacing w:after="160" w:line="280" w:lineRule="auto"/>
      </w:pPr>
      <w:r>
        <w:rPr>
          <w:rFonts w:ascii="Calibri" w:hAnsi="Calibri"/>
        </w:rPr>
        <w:t>The system may capture requested services and preferred times, but it may not promise availability until Client's approved calendar and booking rules are connected and tested.</w:t>
      </w:r>
    </w:p>
    <w:p>
      <w:pPr>
        <w:numPr>
          <w:ilvl w:val="0"/>
          <w:numId w:val="10"/>
        </w:numPr>
        <w:spacing w:after="160" w:line="280" w:lineRule="auto"/>
      </w:pPr>
      <w:r>
        <w:rPr>
          <w:rFonts w:ascii="Calibri" w:hAnsi="Calibri"/>
        </w:rPr>
        <w:t>Outbound calls, texts, and campaigns may run only against a Client-supplied list with documented permission and applicable do-not-contact suppression.</w:t>
      </w:r>
    </w:p>
    <w:p>
      <w:pPr>
        <w:numPr>
          <w:ilvl w:val="0"/>
          <w:numId w:val="10"/>
        </w:numPr>
        <w:spacing w:after="160" w:line="280" w:lineRule="auto"/>
      </w:pPr>
      <w:r>
        <w:rPr>
          <w:rFonts w:ascii="Calibri" w:hAnsi="Calibri"/>
        </w:rPr>
        <w:t>AI phone experiences must identify the business responsible for the call and disclose AI use when required; audio recording remains off unless a separate lawful recording plan is approved.</w:t>
      </w:r>
    </w:p>
    <w:p>
      <w:pPr>
        <w:numPr>
          <w:ilvl w:val="0"/>
          <w:numId w:val="10"/>
        </w:numPr>
        <w:spacing w:after="160" w:line="280" w:lineRule="auto"/>
      </w:pPr>
      <w:r>
        <w:rPr>
          <w:rFonts w:ascii="Calibri" w:hAnsi="Calibri"/>
        </w:rPr>
        <w:t>The system must not collect payment-card numbers, government identifiers, health data, or other sensitive information in conversational fields.</w:t>
      </w:r>
    </w:p>
    <w:p>
      <w:pPr>
        <w:numPr>
          <w:ilvl w:val="0"/>
          <w:numId w:val="10"/>
        </w:numPr>
        <w:spacing w:after="160" w:line="280" w:lineRule="auto"/>
      </w:pPr>
      <w:r>
        <w:rPr>
          <w:rFonts w:ascii="Calibri" w:hAnsi="Calibri"/>
        </w:rPr>
        <w:t>Ambiguous, angry, threatening, emergency, legal, refund, chargeback, or safety-related contacts must be escalated to a human.</w:t>
      </w:r>
    </w:p>
    <w:p>
      <w:pPr>
        <w:numPr>
          <w:ilvl w:val="0"/>
          <w:numId w:val="10"/>
        </w:numPr>
        <w:spacing w:after="160" w:line="280" w:lineRule="auto"/>
      </w:pPr>
      <w:r>
        <w:rPr>
          <w:rFonts w:ascii="Calibri" w:hAnsi="Calibri"/>
        </w:rPr>
        <w:t>Provider may pause any workflow that appears unlawful, deceptive, unsafe, technically unstable, or materially different from the approved configuration.</w:t>
      </w:r>
    </w:p>
    <w:p>
      <w:r>
        <w:br w:type="page"/>
      </w:r>
    </w:p>
    <w:p>
      <w:pPr>
        <w:pStyle w:val="Heading1"/>
        <w:keepNext/>
      </w:pPr>
      <w:r>
        <w:t>Signatures</w:t>
      </w:r>
    </w:p>
    <w:p>
      <w:pPr>
        <w:keepNext/>
        <w:spacing w:after="280"/>
      </w:pPr>
      <w:r>
        <w:t>Each signer represents that they have authority to bind the party shown below and agrees that electronic signatures and counterparts may be used.</w:t>
      </w:r>
    </w:p>
    <w:tbl>
      <w:tblPr>
        <w:tblW w:type="dxa" w:w="9360"/>
        <w:jc w:val="left"/>
        <w:tblLayout w:type="fixed"/>
        <w:tblLook w:firstColumn="1" w:firstRow="1" w:lastColumn="0" w:lastRow="0" w:noHBand="0" w:noVBand="1" w:val="04A0"/>
        <w:tblInd w:w="0" w:type="dxa"/>
        <w:tblBorders>
          <w:top w:val="nil"/>
          <w:left w:val="nil"/>
          <w:bottom w:val="nil"/>
          <w:right w:val="nil"/>
          <w:insideH w:val="nil"/>
          <w:insideV w:val="nil"/>
        </w:tblBorders>
      </w:tblPr>
      <w:tblGrid>
        <w:gridCol w:w="4680"/>
        <w:gridCol w:w="4680"/>
      </w:tblGrid>
      <w:tr>
        <w:trPr>
          <w:cantSplit/>
        </w:trPr>
        <w:tc>
          <w:tcPr>
            <w:tcW w:type="dxa" w:w="4680"/>
            <w:vAlign w:val="center"/>
            <w:tcMar>
              <w:top w:w="100" w:type="dxa"/>
              <w:start w:w="140" w:type="dxa"/>
              <w:bottom w:w="100" w:type="dxa"/>
              <w:end w:w="140" w:type="dxa"/>
            </w:tcMar>
          </w:tcPr>
          <w:p>
            <w:pPr>
              <w:spacing w:after="100"/>
            </w:pPr>
            <w:r>
              <w:rPr>
                <w:rFonts w:ascii="Calibri" w:hAnsi="Calibri"/>
                <w:b/>
                <w:color w:val="173D35"/>
                <w:sz w:val="21"/>
              </w:rPr>
              <w:t>PROVIDER</w:t>
            </w:r>
          </w:p>
          <w:p>
            <w:pPr>
              <w:spacing w:after="100"/>
            </w:pPr>
            <w:r>
              <w:rPr>
                <w:rFonts w:ascii="Calibri" w:hAnsi="Calibri"/>
                <w:b/>
                <w:color w:val="181D1C"/>
                <w:sz w:val="21"/>
              </w:rPr>
              <w:t>Juniper Harbor Ventures LLC</w:t>
            </w:r>
          </w:p>
          <w:p>
            <w:pPr>
              <w:spacing w:after="200"/>
            </w:pPr>
            <w:r>
              <w:rPr>
                <w:rFonts w:ascii="Calibri" w:hAnsi="Calibri"/>
                <w:b w:val="0"/>
                <w:color w:val="181D1C"/>
                <w:sz w:val="21"/>
              </w:rPr>
              <w:t>By: _________________________________</w:t>
            </w:r>
          </w:p>
          <w:p>
            <w:pPr>
              <w:spacing w:after="200"/>
            </w:pPr>
            <w:r>
              <w:rPr>
                <w:rFonts w:ascii="Calibri" w:hAnsi="Calibri"/>
                <w:b w:val="0"/>
                <w:color w:val="181D1C"/>
                <w:sz w:val="21"/>
              </w:rPr>
              <w:t>Name: [Authorized signer]</w:t>
            </w:r>
          </w:p>
          <w:p>
            <w:pPr>
              <w:spacing w:after="200"/>
            </w:pPr>
            <w:r>
              <w:rPr>
                <w:rFonts w:ascii="Calibri" w:hAnsi="Calibri"/>
                <w:b w:val="0"/>
                <w:color w:val="181D1C"/>
                <w:sz w:val="21"/>
              </w:rPr>
              <w:t>Title: ________________________________</w:t>
            </w:r>
          </w:p>
          <w:p>
            <w:pPr>
              <w:spacing w:after="200"/>
            </w:pPr>
            <w:r>
              <w:rPr>
                <w:rFonts w:ascii="Calibri" w:hAnsi="Calibri"/>
                <w:b w:val="0"/>
                <w:color w:val="181D1C"/>
                <w:sz w:val="21"/>
              </w:rPr>
              <w:t>Date: _________________________________</w:t>
            </w:r>
          </w:p>
        </w:tc>
        <w:tc>
          <w:tcPr>
            <w:tcW w:type="dxa" w:w="4680"/>
            <w:vAlign w:val="center"/>
            <w:tcMar>
              <w:top w:w="100" w:type="dxa"/>
              <w:start w:w="140" w:type="dxa"/>
              <w:bottom w:w="100" w:type="dxa"/>
              <w:end w:w="140" w:type="dxa"/>
            </w:tcMar>
          </w:tcPr>
          <w:p>
            <w:pPr>
              <w:spacing w:after="100"/>
            </w:pPr>
            <w:r>
              <w:rPr>
                <w:rFonts w:ascii="Calibri" w:hAnsi="Calibri"/>
                <w:b/>
                <w:color w:val="173D35"/>
                <w:sz w:val="21"/>
              </w:rPr>
              <w:t>CLIENT</w:t>
            </w:r>
          </w:p>
          <w:p>
            <w:pPr>
              <w:spacing w:after="100"/>
            </w:pPr>
            <w:r>
              <w:rPr>
                <w:rFonts w:ascii="Calibri" w:hAnsi="Calibri"/>
                <w:b/>
                <w:color w:val="181D1C"/>
                <w:sz w:val="21"/>
              </w:rPr>
              <w:t>[Client legal name]</w:t>
            </w:r>
          </w:p>
          <w:p>
            <w:pPr>
              <w:spacing w:after="200"/>
            </w:pPr>
            <w:r>
              <w:rPr>
                <w:rFonts w:ascii="Calibri" w:hAnsi="Calibri"/>
                <w:b w:val="0"/>
                <w:color w:val="181D1C"/>
                <w:sz w:val="21"/>
              </w:rPr>
              <w:t>By: _________________________________</w:t>
            </w:r>
          </w:p>
          <w:p>
            <w:pPr>
              <w:spacing w:after="200"/>
            </w:pPr>
            <w:r>
              <w:rPr>
                <w:rFonts w:ascii="Calibri" w:hAnsi="Calibri"/>
                <w:b w:val="0"/>
                <w:color w:val="181D1C"/>
                <w:sz w:val="21"/>
              </w:rPr>
              <w:t>Name: _______________________________</w:t>
            </w:r>
          </w:p>
          <w:p>
            <w:pPr>
              <w:spacing w:after="200"/>
            </w:pPr>
            <w:r>
              <w:rPr>
                <w:rFonts w:ascii="Calibri" w:hAnsi="Calibri"/>
                <w:b w:val="0"/>
                <w:color w:val="181D1C"/>
                <w:sz w:val="21"/>
              </w:rPr>
              <w:t>Title: ________________________________</w:t>
            </w:r>
          </w:p>
          <w:p>
            <w:pPr>
              <w:spacing w:after="200"/>
            </w:pPr>
            <w:r>
              <w:rPr>
                <w:rFonts w:ascii="Calibri" w:hAnsi="Calibri"/>
                <w:b w:val="0"/>
                <w:color w:val="181D1C"/>
                <w:sz w:val="21"/>
              </w:rPr>
              <w:t>Date: _________________________________</w:t>
            </w:r>
          </w:p>
        </w:tc>
      </w:tr>
    </w:tbl>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lvl>
  </w:abstractNum>
  <w:num w:numId="10">
    <w:abstractNumId w:val="9"/>
  </w:num>
  <w:abstractNum w:abstractNumId="10">
    <w:multiLevelType w:val="singleLevel"/>
    <w:lvl w:ilvl="0">
      <w:start w:val="1"/>
      <w:numFmt w:val="decimal"/>
      <w:lvlText w:val="%1."/>
      <w:suff w:val="tab"/>
      <w:pPr>
        <w:tabs>
          <w:tab w:val="num" w:pos="720"/>
        </w:tabs>
        <w:ind w:left="720" w:hanging="360"/>
        <w:spacing w:after="160" w:line="28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81D1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D3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3D3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255F5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40" w:lineRule="auto" w:before="0"/>
      <w:contextualSpacing/>
    </w:pPr>
    <w:rPr>
      <w:rFonts w:asciiTheme="majorHAnsi" w:eastAsiaTheme="majorEastAsia" w:hAnsiTheme="majorHAnsi" w:cstheme="majorBidi" w:ascii="Calibri" w:hAnsi="Calibri"/>
      <w:b/>
      <w:color w:val="173D35"/>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pPr>
    <w:rPr>
      <w:rFonts w:asciiTheme="majorHAnsi" w:eastAsiaTheme="majorEastAsia" w:hAnsiTheme="majorHAnsi" w:cstheme="majorBidi" w:ascii="Calibri" w:hAnsi="Calibri"/>
      <w:i/>
      <w:iCs/>
      <w:color w:val="5E686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ShineBooked AI Client Service Agreement</dc:title>
  <dc:subject>Founding client AI front desk services</dc:subject>
  <dc:creator>Juniper Harbor Ventures LLC</dc:creator>
  <cp:keywords>ShineBooked AI, client service agreement, approval-first services</cp:keywords>
  <dc:description>Reusable business agreement template; complete engagement-specific fields before signature.</dc:description>
  <cp:lastModifiedBy/>
  <cp:revision>1</cp:revision>
  <dcterms:created xsi:type="dcterms:W3CDTF">2013-12-23T23:15:00Z</dcterms:created>
  <dcterms:modified xsi:type="dcterms:W3CDTF">2013-12-23T23:15:00Z</dcterms:modified>
  <cp:category/>
</cp:coreProperties>
</file>